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B3F2A" w:rsidRDefault="00875650" w14:paraId="420C01D3" w14:textId="108B5EEB" w14:noSpellErr="1">
      <w:pPr>
        <w:pStyle w:val="BodyText"/>
        <w:rPr>
          <w:rFonts w:ascii="Times New Roman"/>
          <w:sz w:val="20"/>
          <w:szCs w:val="20"/>
        </w:rPr>
      </w:pPr>
      <w:r w:rsidR="00AB72E1">
        <w:rPr>
          <w:rStyle w:val="wacimagecontainer"/>
          <w:noProof/>
        </w:rPr>
        <w:drawing>
          <wp:inline distT="0" distB="0" distL="0" distR="0" wp14:anchorId="5387C7C4" wp14:editId="531A54F4">
            <wp:extent cx="1296035" cy="544195"/>
            <wp:effectExtent l="0" t="0" r="0" b="825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544195"/>
                    </a:xfrm>
                    <a:prstGeom prst="rect">
                      <a:avLst/>
                    </a:prstGeom>
                    <a:noFill/>
                    <a:ln>
                      <a:noFill/>
                    </a:ln>
                  </pic:spPr>
                </pic:pic>
              </a:graphicData>
            </a:graphic>
          </wp:inline>
        </w:drawing>
      </w:r>
      <w:r w:rsidR="00AB72E1">
        <w:br/>
      </w:r>
    </w:p>
    <w:p w:rsidR="00CB3F2A" w:rsidRDefault="00CB3F2A" w14:paraId="420C01D4" w14:textId="77777777">
      <w:pPr>
        <w:pStyle w:val="BodyText"/>
        <w:rPr>
          <w:rFonts w:ascii="Times New Roman"/>
          <w:sz w:val="20"/>
        </w:rPr>
      </w:pPr>
    </w:p>
    <w:p w:rsidR="00CB3F2A" w:rsidRDefault="00CB3F2A" w14:paraId="420C01D9" w14:textId="77777777">
      <w:pPr>
        <w:pStyle w:val="BodyText"/>
        <w:spacing w:before="2"/>
        <w:rPr>
          <w:rFonts w:ascii="Times New Roman"/>
          <w:sz w:val="25"/>
        </w:rPr>
      </w:pPr>
    </w:p>
    <w:p w:rsidR="00CB3F2A" w:rsidRDefault="00AB72E1" w14:paraId="420C01DA" w14:textId="79AC357D">
      <w:pPr>
        <w:pStyle w:val="Title"/>
      </w:pPr>
      <w:r>
        <w:t>Hinweis</w:t>
      </w:r>
      <w:r>
        <w:rPr>
          <w:spacing w:val="-1"/>
        </w:rPr>
        <w:t xml:space="preserve"> </w:t>
      </w:r>
      <w:r>
        <w:t>zu</w:t>
      </w:r>
      <w:r>
        <w:rPr>
          <w:spacing w:val="-1"/>
        </w:rPr>
        <w:t xml:space="preserve"> </w:t>
      </w:r>
      <w:r>
        <w:t>Versicherungen</w:t>
      </w:r>
      <w:r>
        <w:rPr>
          <w:spacing w:val="-1"/>
        </w:rPr>
        <w:t xml:space="preserve"> </w:t>
      </w:r>
      <w:r>
        <w:t>von</w:t>
      </w:r>
      <w:r>
        <w:rPr>
          <w:spacing w:val="-1"/>
        </w:rPr>
        <w:t xml:space="preserve"> </w:t>
      </w:r>
      <w:proofErr w:type="spellStart"/>
      <w:proofErr w:type="gramStart"/>
      <w:r>
        <w:rPr>
          <w:spacing w:val="-2"/>
        </w:rPr>
        <w:t>Studienteilnehmer:innen</w:t>
      </w:r>
      <w:proofErr w:type="spellEnd"/>
      <w:proofErr w:type="gramEnd"/>
    </w:p>
    <w:p w:rsidR="00CB3F2A" w:rsidRDefault="00CB3F2A" w14:paraId="420C01DB" w14:textId="77777777">
      <w:pPr>
        <w:pStyle w:val="BodyText"/>
        <w:rPr>
          <w:b/>
          <w:sz w:val="44"/>
        </w:rPr>
      </w:pPr>
    </w:p>
    <w:p w:rsidR="00CB3F2A" w:rsidRDefault="00AB72E1" w14:paraId="420C01DC" w14:textId="77777777">
      <w:pPr>
        <w:pStyle w:val="Heading1"/>
        <w:spacing w:before="342"/>
      </w:pPr>
      <w:r>
        <w:rPr>
          <w:spacing w:val="-2"/>
        </w:rPr>
        <w:t>Grundsatz</w:t>
      </w:r>
    </w:p>
    <w:p w:rsidR="00CB3F2A" w:rsidRDefault="00CB3F2A" w14:paraId="420C01DD" w14:textId="77777777">
      <w:pPr>
        <w:pStyle w:val="BodyText"/>
        <w:rPr>
          <w:b/>
        </w:rPr>
      </w:pPr>
    </w:p>
    <w:p w:rsidR="00CB3F2A" w:rsidRDefault="00AB72E1" w14:paraId="420C01DE" w14:textId="77777777">
      <w:pPr>
        <w:pStyle w:val="BodyText"/>
        <w:ind w:left="104" w:right="131"/>
        <w:jc w:val="both"/>
      </w:pPr>
      <w:r>
        <w:t xml:space="preserve">Prinzipiell gilt der Grundsatz der Selbstversicherung. Das Land versichert Risiken nicht, es sei denn, dies ist gesetzlich vorgeschrieben. Dies bedeutet: </w:t>
      </w:r>
      <w:proofErr w:type="spellStart"/>
      <w:proofErr w:type="gramStart"/>
      <w:r>
        <w:t>Proband:innen</w:t>
      </w:r>
      <w:proofErr w:type="spellEnd"/>
      <w:proofErr w:type="gramEnd"/>
      <w:r>
        <w:t xml:space="preserve"> stehen nicht unter dem Versicherungsschutz bei der Unfallkasse Baden-Württemberg (UKBW) und es können auch keine studienbezogenen Versicherungen separat abgeschlossen werden. Im Falle eines Körperschadens ist die zuständige private oder gesetzliche Krankenversicherung zuständig. Dies gilt ebenso für den Weg zum Studienort oder den Rückweg vom Studienort.</w:t>
      </w:r>
    </w:p>
    <w:p w:rsidR="00CB3F2A" w:rsidRDefault="00CB3F2A" w14:paraId="420C01DF" w14:textId="77777777">
      <w:pPr>
        <w:pStyle w:val="BodyText"/>
        <w:spacing w:before="11"/>
        <w:rPr>
          <w:sz w:val="23"/>
        </w:rPr>
      </w:pPr>
    </w:p>
    <w:p w:rsidR="00CB3F2A" w:rsidRDefault="00AB72E1" w14:paraId="420C01E0" w14:textId="77777777">
      <w:pPr>
        <w:pStyle w:val="BodyText"/>
        <w:ind w:left="105" w:right="131"/>
        <w:jc w:val="both"/>
      </w:pPr>
      <w:proofErr w:type="spellStart"/>
      <w:proofErr w:type="gramStart"/>
      <w:r>
        <w:t>Studienteilnehmer:innen</w:t>
      </w:r>
      <w:proofErr w:type="spellEnd"/>
      <w:proofErr w:type="gramEnd"/>
      <w:r>
        <w:rPr>
          <w:spacing w:val="-10"/>
        </w:rPr>
        <w:t xml:space="preserve"> </w:t>
      </w:r>
      <w:r>
        <w:t>sind</w:t>
      </w:r>
      <w:r>
        <w:rPr>
          <w:spacing w:val="-10"/>
        </w:rPr>
        <w:t xml:space="preserve"> </w:t>
      </w:r>
      <w:r>
        <w:t>darüber</w:t>
      </w:r>
      <w:r>
        <w:rPr>
          <w:spacing w:val="-10"/>
        </w:rPr>
        <w:t xml:space="preserve"> </w:t>
      </w:r>
      <w:r>
        <w:t>zu</w:t>
      </w:r>
      <w:r>
        <w:rPr>
          <w:spacing w:val="-10"/>
        </w:rPr>
        <w:t xml:space="preserve"> </w:t>
      </w:r>
      <w:r>
        <w:t>informieren,</w:t>
      </w:r>
      <w:r>
        <w:rPr>
          <w:spacing w:val="-10"/>
        </w:rPr>
        <w:t xml:space="preserve"> </w:t>
      </w:r>
      <w:r>
        <w:t>dass</w:t>
      </w:r>
      <w:r>
        <w:rPr>
          <w:spacing w:val="-10"/>
        </w:rPr>
        <w:t xml:space="preserve"> </w:t>
      </w:r>
      <w:r>
        <w:t>es</w:t>
      </w:r>
      <w:r>
        <w:rPr>
          <w:spacing w:val="-10"/>
        </w:rPr>
        <w:t xml:space="preserve"> </w:t>
      </w:r>
      <w:r>
        <w:t>für</w:t>
      </w:r>
      <w:r>
        <w:rPr>
          <w:spacing w:val="-11"/>
        </w:rPr>
        <w:t xml:space="preserve"> </w:t>
      </w:r>
      <w:r>
        <w:t>die</w:t>
      </w:r>
      <w:r>
        <w:rPr>
          <w:spacing w:val="-10"/>
        </w:rPr>
        <w:t xml:space="preserve"> </w:t>
      </w:r>
      <w:r>
        <w:t>Teilnahme</w:t>
      </w:r>
      <w:r>
        <w:rPr>
          <w:spacing w:val="-10"/>
        </w:rPr>
        <w:t xml:space="preserve"> </w:t>
      </w:r>
      <w:r>
        <w:t>an</w:t>
      </w:r>
      <w:r>
        <w:rPr>
          <w:spacing w:val="-10"/>
        </w:rPr>
        <w:t xml:space="preserve"> </w:t>
      </w:r>
      <w:r>
        <w:t>der</w:t>
      </w:r>
      <w:r>
        <w:rPr>
          <w:spacing w:val="-10"/>
        </w:rPr>
        <w:t xml:space="preserve"> </w:t>
      </w:r>
      <w:r>
        <w:t>Studie keinen separaten Versicherungsschutz seitens der Hochschule gibt.</w:t>
      </w:r>
    </w:p>
    <w:p w:rsidR="00CB3F2A" w:rsidRDefault="00CB3F2A" w14:paraId="420C01E1" w14:textId="77777777">
      <w:pPr>
        <w:pStyle w:val="BodyText"/>
        <w:rPr>
          <w:sz w:val="28"/>
        </w:rPr>
      </w:pPr>
    </w:p>
    <w:p w:rsidR="00CB3F2A" w:rsidRDefault="00AB72E1" w14:paraId="420C01E2" w14:textId="77777777">
      <w:pPr>
        <w:pStyle w:val="Heading1"/>
      </w:pPr>
      <w:r>
        <w:rPr>
          <w:spacing w:val="-2"/>
        </w:rPr>
        <w:t>Ausnahmen</w:t>
      </w:r>
    </w:p>
    <w:p w:rsidR="00CB3F2A" w:rsidRDefault="00CB3F2A" w14:paraId="420C01E3" w14:textId="77777777">
      <w:pPr>
        <w:pStyle w:val="BodyText"/>
        <w:spacing w:before="11"/>
        <w:rPr>
          <w:b/>
          <w:sz w:val="23"/>
        </w:rPr>
      </w:pPr>
    </w:p>
    <w:p w:rsidR="00CB3F2A" w:rsidRDefault="00AB72E1" w14:paraId="420C01E4" w14:textId="77777777">
      <w:pPr>
        <w:pStyle w:val="BodyText"/>
        <w:spacing w:before="1"/>
        <w:ind w:left="105"/>
        <w:jc w:val="both"/>
      </w:pPr>
      <w:r>
        <w:t>Zu</w:t>
      </w:r>
      <w:r>
        <w:rPr>
          <w:spacing w:val="-1"/>
        </w:rPr>
        <w:t xml:space="preserve"> </w:t>
      </w:r>
      <w:r>
        <w:t>der oben beschriebenen</w:t>
      </w:r>
      <w:r>
        <w:rPr>
          <w:spacing w:val="-1"/>
        </w:rPr>
        <w:t xml:space="preserve"> </w:t>
      </w:r>
      <w:r>
        <w:t>generellen Regelung gibt</w:t>
      </w:r>
      <w:r>
        <w:rPr>
          <w:spacing w:val="-1"/>
        </w:rPr>
        <w:t xml:space="preserve"> </w:t>
      </w:r>
      <w:r>
        <w:t xml:space="preserve">es die folgenden </w:t>
      </w:r>
      <w:r>
        <w:rPr>
          <w:spacing w:val="-2"/>
        </w:rPr>
        <w:t>Ausnahmen:</w:t>
      </w:r>
    </w:p>
    <w:p w:rsidR="00CB3F2A" w:rsidRDefault="00CB3F2A" w14:paraId="420C01E5" w14:textId="77777777">
      <w:pPr>
        <w:pStyle w:val="BodyText"/>
        <w:spacing w:before="11"/>
        <w:rPr>
          <w:sz w:val="23"/>
        </w:rPr>
      </w:pPr>
    </w:p>
    <w:p w:rsidR="00CB3F2A" w:rsidRDefault="00AB72E1" w14:paraId="420C01E6" w14:textId="77777777">
      <w:pPr>
        <w:pStyle w:val="BodyText"/>
        <w:ind w:left="105" w:right="131"/>
        <w:jc w:val="both"/>
      </w:pPr>
      <w:r>
        <w:rPr>
          <w:b/>
          <w:i/>
        </w:rPr>
        <w:t xml:space="preserve">Medizinische Studien: </w:t>
      </w:r>
      <w:r>
        <w:t>Wenn es sich um eine medizinische Studie handelt, dann gibt es folgenden Ausnahmetatbestand: Gemäß § 40 Absatz 1 Nr. 8 i. V. m. Absatz 3 Arzneimittelgesetz ist eine Probandenversicherung gesetzlich vorgeschrieben. Bei der UKBW sind</w:t>
      </w:r>
      <w:r>
        <w:rPr>
          <w:spacing w:val="-7"/>
        </w:rPr>
        <w:t xml:space="preserve"> </w:t>
      </w:r>
      <w:r>
        <w:t>nur</w:t>
      </w:r>
      <w:r>
        <w:rPr>
          <w:spacing w:val="-7"/>
        </w:rPr>
        <w:t xml:space="preserve"> </w:t>
      </w:r>
      <w:r>
        <w:t>die</w:t>
      </w:r>
      <w:r>
        <w:rPr>
          <w:spacing w:val="-6"/>
        </w:rPr>
        <w:t xml:space="preserve"> </w:t>
      </w:r>
      <w:proofErr w:type="spellStart"/>
      <w:proofErr w:type="gramStart"/>
      <w:r>
        <w:t>Proband:innen</w:t>
      </w:r>
      <w:proofErr w:type="spellEnd"/>
      <w:proofErr w:type="gramEnd"/>
      <w:r>
        <w:rPr>
          <w:spacing w:val="-7"/>
        </w:rPr>
        <w:t xml:space="preserve"> </w:t>
      </w:r>
      <w:r>
        <w:t>versichert,</w:t>
      </w:r>
      <w:r>
        <w:rPr>
          <w:spacing w:val="-7"/>
        </w:rPr>
        <w:t xml:space="preserve"> </w:t>
      </w:r>
      <w:r>
        <w:t>die</w:t>
      </w:r>
      <w:r>
        <w:rPr>
          <w:spacing w:val="-7"/>
        </w:rPr>
        <w:t xml:space="preserve"> </w:t>
      </w:r>
      <w:r>
        <w:t>an</w:t>
      </w:r>
      <w:r>
        <w:rPr>
          <w:spacing w:val="-7"/>
        </w:rPr>
        <w:t xml:space="preserve"> </w:t>
      </w:r>
      <w:r>
        <w:t>medizinischen</w:t>
      </w:r>
      <w:r>
        <w:rPr>
          <w:spacing w:val="-7"/>
        </w:rPr>
        <w:t xml:space="preserve"> </w:t>
      </w:r>
      <w:r>
        <w:t>Studien</w:t>
      </w:r>
      <w:r>
        <w:rPr>
          <w:spacing w:val="-7"/>
        </w:rPr>
        <w:t xml:space="preserve"> </w:t>
      </w:r>
      <w:r>
        <w:t>teilnehmen</w:t>
      </w:r>
      <w:r>
        <w:rPr>
          <w:spacing w:val="-7"/>
        </w:rPr>
        <w:t xml:space="preserve"> </w:t>
      </w:r>
      <w:r>
        <w:t>und</w:t>
      </w:r>
      <w:r>
        <w:rPr>
          <w:spacing w:val="-7"/>
        </w:rPr>
        <w:t xml:space="preserve"> </w:t>
      </w:r>
      <w:r>
        <w:t>in</w:t>
      </w:r>
      <w:r>
        <w:rPr>
          <w:spacing w:val="-7"/>
        </w:rPr>
        <w:t xml:space="preserve"> </w:t>
      </w:r>
      <w:r>
        <w:t>dieser Blut oder körpereigene Organe, Organteile oder Gewebe spenden.</w:t>
      </w:r>
    </w:p>
    <w:p w:rsidR="00CB3F2A" w:rsidRDefault="00CB3F2A" w14:paraId="420C01E7" w14:textId="77777777">
      <w:pPr>
        <w:pStyle w:val="BodyText"/>
        <w:spacing w:before="4"/>
      </w:pPr>
    </w:p>
    <w:p w:rsidR="00CB3F2A" w:rsidRDefault="00AB72E1" w14:paraId="420C01E8" w14:textId="77777777">
      <w:pPr>
        <w:pStyle w:val="BodyText"/>
        <w:ind w:left="105" w:right="131"/>
        <w:jc w:val="both"/>
      </w:pPr>
      <w:r>
        <w:rPr>
          <w:b/>
          <w:i/>
        </w:rPr>
        <w:t xml:space="preserve">Teilnahme von Studierenden an Studien: </w:t>
      </w:r>
      <w:r>
        <w:t>Für den Fall, dass immatrikulierte Studierende der Pädagogischen Hochschule Heidelberg an einer Studie teilnehmen, gilt folgendes: Die Studierenden</w:t>
      </w:r>
      <w:r>
        <w:rPr>
          <w:spacing w:val="-12"/>
        </w:rPr>
        <w:t xml:space="preserve"> </w:t>
      </w:r>
      <w:r>
        <w:t>stehen</w:t>
      </w:r>
      <w:r>
        <w:rPr>
          <w:spacing w:val="-12"/>
        </w:rPr>
        <w:t xml:space="preserve"> </w:t>
      </w:r>
      <w:r>
        <w:t>unter</w:t>
      </w:r>
      <w:r>
        <w:rPr>
          <w:spacing w:val="-12"/>
        </w:rPr>
        <w:t xml:space="preserve"> </w:t>
      </w:r>
      <w:r>
        <w:t>dem</w:t>
      </w:r>
      <w:r>
        <w:rPr>
          <w:spacing w:val="-12"/>
        </w:rPr>
        <w:t xml:space="preserve"> </w:t>
      </w:r>
      <w:r>
        <w:t>Schutz</w:t>
      </w:r>
      <w:r>
        <w:rPr>
          <w:spacing w:val="-12"/>
        </w:rPr>
        <w:t xml:space="preserve"> </w:t>
      </w:r>
      <w:r>
        <w:t>der</w:t>
      </w:r>
      <w:r>
        <w:rPr>
          <w:spacing w:val="-12"/>
        </w:rPr>
        <w:t xml:space="preserve"> </w:t>
      </w:r>
      <w:r>
        <w:t>gesetzlichen</w:t>
      </w:r>
      <w:r>
        <w:rPr>
          <w:spacing w:val="-12"/>
        </w:rPr>
        <w:t xml:space="preserve"> </w:t>
      </w:r>
      <w:r>
        <w:t>Unfallversicherung,</w:t>
      </w:r>
      <w:r>
        <w:rPr>
          <w:spacing w:val="-12"/>
        </w:rPr>
        <w:t xml:space="preserve"> </w:t>
      </w:r>
      <w:r>
        <w:t>wenn</w:t>
      </w:r>
      <w:r>
        <w:rPr>
          <w:spacing w:val="-12"/>
        </w:rPr>
        <w:t xml:space="preserve"> </w:t>
      </w:r>
      <w:r>
        <w:t>das</w:t>
      </w:r>
      <w:r>
        <w:rPr>
          <w:spacing w:val="-12"/>
        </w:rPr>
        <w:t xml:space="preserve"> </w:t>
      </w:r>
      <w:r>
        <w:t>Projekt im organisatorischen Verantwortungsbereich der Hochschulen stattfindet.</w:t>
      </w:r>
    </w:p>
    <w:p w:rsidR="00CB3F2A" w:rsidRDefault="00AB72E1" w14:paraId="420C01E9" w14:textId="77777777">
      <w:pPr>
        <w:pStyle w:val="BodyText"/>
        <w:spacing w:line="292" w:lineRule="exact"/>
        <w:ind w:left="105"/>
        <w:jc w:val="both"/>
      </w:pPr>
      <w:r>
        <w:t>Der</w:t>
      </w:r>
      <w:r>
        <w:rPr>
          <w:spacing w:val="-3"/>
        </w:rPr>
        <w:t xml:space="preserve"> </w:t>
      </w:r>
      <w:r>
        <w:t>organisatorische</w:t>
      </w:r>
      <w:r>
        <w:rPr>
          <w:spacing w:val="-1"/>
        </w:rPr>
        <w:t xml:space="preserve"> </w:t>
      </w:r>
      <w:r>
        <w:t>Verantwortungsbereich</w:t>
      </w:r>
      <w:r>
        <w:rPr>
          <w:spacing w:val="-1"/>
        </w:rPr>
        <w:t xml:space="preserve"> </w:t>
      </w:r>
      <w:r>
        <w:t>ist gegeben,</w:t>
      </w:r>
      <w:r>
        <w:rPr>
          <w:spacing w:val="-1"/>
        </w:rPr>
        <w:t xml:space="preserve"> </w:t>
      </w:r>
      <w:r>
        <w:t>wenn</w:t>
      </w:r>
      <w:r>
        <w:rPr>
          <w:spacing w:val="-1"/>
        </w:rPr>
        <w:t xml:space="preserve"> </w:t>
      </w:r>
      <w:r>
        <w:t xml:space="preserve">die </w:t>
      </w:r>
      <w:r>
        <w:rPr>
          <w:spacing w:val="-2"/>
        </w:rPr>
        <w:t>Hochschule</w:t>
      </w:r>
    </w:p>
    <w:p w:rsidR="00CB3F2A" w:rsidRDefault="00AB72E1" w14:paraId="420C01EA" w14:textId="77777777">
      <w:pPr>
        <w:pStyle w:val="ListParagraph"/>
        <w:numPr>
          <w:ilvl w:val="0"/>
          <w:numId w:val="1"/>
        </w:numPr>
        <w:tabs>
          <w:tab w:val="left" w:pos="825"/>
          <w:tab w:val="left" w:pos="826"/>
          <w:tab w:val="left" w:pos="1456"/>
          <w:tab w:val="left" w:pos="2876"/>
          <w:tab w:val="left" w:pos="3536"/>
          <w:tab w:val="left" w:pos="5185"/>
          <w:tab w:val="left" w:pos="5697"/>
          <w:tab w:val="left" w:pos="7004"/>
          <w:tab w:val="left" w:pos="8123"/>
        </w:tabs>
        <w:rPr>
          <w:sz w:val="24"/>
        </w:rPr>
      </w:pPr>
      <w:r>
        <w:rPr>
          <w:spacing w:val="-4"/>
          <w:sz w:val="24"/>
        </w:rPr>
        <w:t>die</w:t>
      </w:r>
      <w:r>
        <w:rPr>
          <w:sz w:val="24"/>
        </w:rPr>
        <w:tab/>
      </w:r>
      <w:r>
        <w:rPr>
          <w:spacing w:val="-2"/>
          <w:sz w:val="24"/>
        </w:rPr>
        <w:t>Tätigkeiten</w:t>
      </w:r>
      <w:r>
        <w:rPr>
          <w:sz w:val="24"/>
        </w:rPr>
        <w:tab/>
      </w:r>
      <w:r>
        <w:rPr>
          <w:spacing w:val="-4"/>
          <w:sz w:val="24"/>
        </w:rPr>
        <w:t>der</w:t>
      </w:r>
      <w:r>
        <w:rPr>
          <w:sz w:val="24"/>
        </w:rPr>
        <w:tab/>
      </w:r>
      <w:r>
        <w:rPr>
          <w:spacing w:val="-2"/>
          <w:sz w:val="24"/>
        </w:rPr>
        <w:t>Studierenden</w:t>
      </w:r>
      <w:r>
        <w:rPr>
          <w:sz w:val="24"/>
        </w:rPr>
        <w:tab/>
      </w:r>
      <w:r>
        <w:rPr>
          <w:spacing w:val="-6"/>
          <w:sz w:val="24"/>
        </w:rPr>
        <w:t>in</w:t>
      </w:r>
      <w:r>
        <w:rPr>
          <w:sz w:val="24"/>
        </w:rPr>
        <w:tab/>
      </w:r>
      <w:r>
        <w:rPr>
          <w:spacing w:val="-2"/>
          <w:sz w:val="24"/>
        </w:rPr>
        <w:t>sachlicher</w:t>
      </w:r>
      <w:r>
        <w:rPr>
          <w:sz w:val="24"/>
        </w:rPr>
        <w:tab/>
      </w:r>
      <w:r>
        <w:rPr>
          <w:spacing w:val="-2"/>
          <w:sz w:val="24"/>
        </w:rPr>
        <w:t>Hinsicht</w:t>
      </w:r>
      <w:r>
        <w:rPr>
          <w:sz w:val="24"/>
        </w:rPr>
        <w:tab/>
      </w:r>
      <w:r>
        <w:rPr>
          <w:spacing w:val="-2"/>
          <w:sz w:val="24"/>
        </w:rPr>
        <w:t xml:space="preserve">wesentlich </w:t>
      </w:r>
      <w:r>
        <w:rPr>
          <w:sz w:val="24"/>
        </w:rPr>
        <w:t>selbstverantwortlich ausgestaltet, überwacht und</w:t>
      </w:r>
    </w:p>
    <w:p w:rsidR="00CB3F2A" w:rsidRDefault="00AB72E1" w14:paraId="420C01EB" w14:textId="77777777">
      <w:pPr>
        <w:pStyle w:val="ListParagraph"/>
        <w:numPr>
          <w:ilvl w:val="0"/>
          <w:numId w:val="1"/>
        </w:numPr>
        <w:tabs>
          <w:tab w:val="left" w:pos="825"/>
          <w:tab w:val="left" w:pos="826"/>
        </w:tabs>
        <w:ind w:right="132"/>
        <w:rPr>
          <w:sz w:val="24"/>
        </w:rPr>
      </w:pPr>
      <w:r>
        <w:rPr>
          <w:sz w:val="24"/>
        </w:rPr>
        <w:t>durch eigenes oder beauftragtes Lehrpersonal weitgehend praktische Eingriffs- und Weisungsmöglichkeiten in Bezug auf Zeit, Ort, Form und Dauer der Tätigkeit sowie</w:t>
      </w:r>
    </w:p>
    <w:p w:rsidR="00CB3F2A" w:rsidRDefault="00AB72E1" w14:paraId="420C01EC" w14:textId="77777777">
      <w:pPr>
        <w:pStyle w:val="ListParagraph"/>
        <w:numPr>
          <w:ilvl w:val="0"/>
          <w:numId w:val="1"/>
        </w:numPr>
        <w:tabs>
          <w:tab w:val="left" w:pos="825"/>
          <w:tab w:val="left" w:pos="826"/>
        </w:tabs>
        <w:rPr>
          <w:sz w:val="24"/>
        </w:rPr>
      </w:pPr>
      <w:r>
        <w:rPr>
          <w:sz w:val="24"/>
        </w:rPr>
        <w:t>ein</w:t>
      </w:r>
      <w:r>
        <w:rPr>
          <w:spacing w:val="-12"/>
          <w:sz w:val="24"/>
        </w:rPr>
        <w:t xml:space="preserve"> </w:t>
      </w:r>
      <w:r>
        <w:rPr>
          <w:sz w:val="24"/>
        </w:rPr>
        <w:t>Weisungs-</w:t>
      </w:r>
      <w:r>
        <w:rPr>
          <w:spacing w:val="-11"/>
          <w:sz w:val="24"/>
        </w:rPr>
        <w:t xml:space="preserve"> </w:t>
      </w:r>
      <w:r>
        <w:rPr>
          <w:sz w:val="24"/>
        </w:rPr>
        <w:t>und</w:t>
      </w:r>
      <w:r>
        <w:rPr>
          <w:spacing w:val="-11"/>
          <w:sz w:val="24"/>
        </w:rPr>
        <w:t xml:space="preserve"> </w:t>
      </w:r>
      <w:r>
        <w:rPr>
          <w:sz w:val="24"/>
        </w:rPr>
        <w:t>Kontrollrecht</w:t>
      </w:r>
      <w:r>
        <w:rPr>
          <w:spacing w:val="-11"/>
          <w:sz w:val="24"/>
        </w:rPr>
        <w:t xml:space="preserve"> </w:t>
      </w:r>
      <w:r>
        <w:rPr>
          <w:sz w:val="24"/>
        </w:rPr>
        <w:t>hinsichtlich</w:t>
      </w:r>
      <w:r>
        <w:rPr>
          <w:spacing w:val="-11"/>
          <w:sz w:val="24"/>
        </w:rPr>
        <w:t xml:space="preserve"> </w:t>
      </w:r>
      <w:r>
        <w:rPr>
          <w:sz w:val="24"/>
        </w:rPr>
        <w:t>der</w:t>
      </w:r>
      <w:r>
        <w:rPr>
          <w:spacing w:val="-11"/>
          <w:sz w:val="24"/>
        </w:rPr>
        <w:t xml:space="preserve"> </w:t>
      </w:r>
      <w:r>
        <w:rPr>
          <w:sz w:val="24"/>
        </w:rPr>
        <w:t>Art</w:t>
      </w:r>
      <w:r>
        <w:rPr>
          <w:spacing w:val="-11"/>
          <w:sz w:val="24"/>
        </w:rPr>
        <w:t xml:space="preserve"> </w:t>
      </w:r>
      <w:r>
        <w:rPr>
          <w:sz w:val="24"/>
        </w:rPr>
        <w:t>und</w:t>
      </w:r>
      <w:r>
        <w:rPr>
          <w:spacing w:val="-11"/>
          <w:sz w:val="24"/>
        </w:rPr>
        <w:t xml:space="preserve"> </w:t>
      </w:r>
      <w:r>
        <w:rPr>
          <w:sz w:val="24"/>
        </w:rPr>
        <w:t>Durchführung</w:t>
      </w:r>
      <w:r>
        <w:rPr>
          <w:spacing w:val="-11"/>
          <w:sz w:val="24"/>
        </w:rPr>
        <w:t xml:space="preserve"> </w:t>
      </w:r>
      <w:r>
        <w:rPr>
          <w:sz w:val="24"/>
        </w:rPr>
        <w:t>der</w:t>
      </w:r>
      <w:r>
        <w:rPr>
          <w:spacing w:val="-11"/>
          <w:sz w:val="24"/>
        </w:rPr>
        <w:t xml:space="preserve"> </w:t>
      </w:r>
      <w:r>
        <w:rPr>
          <w:sz w:val="24"/>
        </w:rPr>
        <w:t xml:space="preserve">Tätigkeiten </w:t>
      </w:r>
      <w:r>
        <w:rPr>
          <w:spacing w:val="-4"/>
          <w:sz w:val="24"/>
        </w:rPr>
        <w:t>hat.</w:t>
      </w:r>
    </w:p>
    <w:p w:rsidR="00CB3F2A" w:rsidRDefault="00AB72E1" w14:paraId="420C01ED" w14:textId="77777777">
      <w:pPr>
        <w:pStyle w:val="BodyText"/>
        <w:ind w:left="105" w:right="131"/>
        <w:jc w:val="both"/>
      </w:pPr>
      <w:r>
        <w:t>Versicherungsschutz</w:t>
      </w:r>
      <w:r>
        <w:rPr>
          <w:spacing w:val="-3"/>
        </w:rPr>
        <w:t xml:space="preserve"> </w:t>
      </w:r>
      <w:r>
        <w:t>besteht,</w:t>
      </w:r>
      <w:r>
        <w:rPr>
          <w:spacing w:val="-3"/>
        </w:rPr>
        <w:t xml:space="preserve"> </w:t>
      </w:r>
      <w:r>
        <w:t>wenn</w:t>
      </w:r>
      <w:r>
        <w:rPr>
          <w:spacing w:val="-3"/>
        </w:rPr>
        <w:t xml:space="preserve"> </w:t>
      </w:r>
      <w:r>
        <w:t>die</w:t>
      </w:r>
      <w:r>
        <w:rPr>
          <w:spacing w:val="-3"/>
        </w:rPr>
        <w:t xml:space="preserve"> </w:t>
      </w:r>
      <w:r>
        <w:t>oben</w:t>
      </w:r>
      <w:r>
        <w:rPr>
          <w:spacing w:val="-3"/>
        </w:rPr>
        <w:t xml:space="preserve"> </w:t>
      </w:r>
      <w:r>
        <w:t>genannten</w:t>
      </w:r>
      <w:r>
        <w:rPr>
          <w:spacing w:val="-3"/>
        </w:rPr>
        <w:t xml:space="preserve"> </w:t>
      </w:r>
      <w:r>
        <w:t>Voraussetzungen</w:t>
      </w:r>
      <w:r>
        <w:rPr>
          <w:spacing w:val="-3"/>
        </w:rPr>
        <w:t xml:space="preserve"> </w:t>
      </w:r>
      <w:r>
        <w:t>erfüllt</w:t>
      </w:r>
      <w:r>
        <w:rPr>
          <w:spacing w:val="-3"/>
        </w:rPr>
        <w:t xml:space="preserve"> </w:t>
      </w:r>
      <w:r>
        <w:t>sind,</w:t>
      </w:r>
      <w:r>
        <w:rPr>
          <w:spacing w:val="-3"/>
        </w:rPr>
        <w:t xml:space="preserve"> </w:t>
      </w:r>
      <w:r>
        <w:t>für</w:t>
      </w:r>
      <w:r>
        <w:rPr>
          <w:spacing w:val="-3"/>
        </w:rPr>
        <w:t xml:space="preserve"> </w:t>
      </w:r>
      <w:r>
        <w:t>die Studierenden während der mit dem Projekt zusammenhängenden Verrichtungen sowie auf den damit verbundenen Wegen. Versichert sind Körper-, jedoch keine Sachschäden.</w:t>
      </w:r>
    </w:p>
    <w:sectPr w:rsidR="00CB3F2A">
      <w:type w:val="continuous"/>
      <w:pgSz w:w="11910" w:h="16840" w:orient="portrait"/>
      <w:pgMar w:top="740" w:right="12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AE0A7D"/>
    <w:multiLevelType w:val="hybridMultilevel"/>
    <w:tmpl w:val="200AA7EA"/>
    <w:lvl w:ilvl="0" w:tplc="67F81EF4">
      <w:numFmt w:val="bullet"/>
      <w:lvlText w:val=""/>
      <w:lvlJc w:val="left"/>
      <w:pPr>
        <w:ind w:left="825" w:hanging="360"/>
      </w:pPr>
      <w:rPr>
        <w:rFonts w:hint="default" w:ascii="Wingdings" w:hAnsi="Wingdings" w:eastAsia="Wingdings" w:cs="Wingdings"/>
        <w:b w:val="0"/>
        <w:bCs w:val="0"/>
        <w:i w:val="0"/>
        <w:iCs w:val="0"/>
        <w:w w:val="100"/>
        <w:sz w:val="24"/>
        <w:szCs w:val="24"/>
        <w:lang w:val="de-DE" w:eastAsia="en-US" w:bidi="ar-SA"/>
      </w:rPr>
    </w:lvl>
    <w:lvl w:ilvl="1" w:tplc="C89C9BFE">
      <w:numFmt w:val="bullet"/>
      <w:lvlText w:val="•"/>
      <w:lvlJc w:val="left"/>
      <w:pPr>
        <w:ind w:left="1668" w:hanging="360"/>
      </w:pPr>
      <w:rPr>
        <w:rFonts w:hint="default"/>
        <w:lang w:val="de-DE" w:eastAsia="en-US" w:bidi="ar-SA"/>
      </w:rPr>
    </w:lvl>
    <w:lvl w:ilvl="2" w:tplc="C682038E">
      <w:numFmt w:val="bullet"/>
      <w:lvlText w:val="•"/>
      <w:lvlJc w:val="left"/>
      <w:pPr>
        <w:ind w:left="2517" w:hanging="360"/>
      </w:pPr>
      <w:rPr>
        <w:rFonts w:hint="default"/>
        <w:lang w:val="de-DE" w:eastAsia="en-US" w:bidi="ar-SA"/>
      </w:rPr>
    </w:lvl>
    <w:lvl w:ilvl="3" w:tplc="9A564A02">
      <w:numFmt w:val="bullet"/>
      <w:lvlText w:val="•"/>
      <w:lvlJc w:val="left"/>
      <w:pPr>
        <w:ind w:left="3365" w:hanging="360"/>
      </w:pPr>
      <w:rPr>
        <w:rFonts w:hint="default"/>
        <w:lang w:val="de-DE" w:eastAsia="en-US" w:bidi="ar-SA"/>
      </w:rPr>
    </w:lvl>
    <w:lvl w:ilvl="4" w:tplc="8FAC5B68">
      <w:numFmt w:val="bullet"/>
      <w:lvlText w:val="•"/>
      <w:lvlJc w:val="left"/>
      <w:pPr>
        <w:ind w:left="4214" w:hanging="360"/>
      </w:pPr>
      <w:rPr>
        <w:rFonts w:hint="default"/>
        <w:lang w:val="de-DE" w:eastAsia="en-US" w:bidi="ar-SA"/>
      </w:rPr>
    </w:lvl>
    <w:lvl w:ilvl="5" w:tplc="FDB6BAFA">
      <w:numFmt w:val="bullet"/>
      <w:lvlText w:val="•"/>
      <w:lvlJc w:val="left"/>
      <w:pPr>
        <w:ind w:left="5062" w:hanging="360"/>
      </w:pPr>
      <w:rPr>
        <w:rFonts w:hint="default"/>
        <w:lang w:val="de-DE" w:eastAsia="en-US" w:bidi="ar-SA"/>
      </w:rPr>
    </w:lvl>
    <w:lvl w:ilvl="6" w:tplc="B77A51B0">
      <w:numFmt w:val="bullet"/>
      <w:lvlText w:val="•"/>
      <w:lvlJc w:val="left"/>
      <w:pPr>
        <w:ind w:left="5911" w:hanging="360"/>
      </w:pPr>
      <w:rPr>
        <w:rFonts w:hint="default"/>
        <w:lang w:val="de-DE" w:eastAsia="en-US" w:bidi="ar-SA"/>
      </w:rPr>
    </w:lvl>
    <w:lvl w:ilvl="7" w:tplc="3FEA5618">
      <w:numFmt w:val="bullet"/>
      <w:lvlText w:val="•"/>
      <w:lvlJc w:val="left"/>
      <w:pPr>
        <w:ind w:left="6759" w:hanging="360"/>
      </w:pPr>
      <w:rPr>
        <w:rFonts w:hint="default"/>
        <w:lang w:val="de-DE" w:eastAsia="en-US" w:bidi="ar-SA"/>
      </w:rPr>
    </w:lvl>
    <w:lvl w:ilvl="8" w:tplc="2CE00986">
      <w:numFmt w:val="bullet"/>
      <w:lvlText w:val="•"/>
      <w:lvlJc w:val="left"/>
      <w:pPr>
        <w:ind w:left="7608" w:hanging="360"/>
      </w:pPr>
      <w:rPr>
        <w:rFonts w:hint="default"/>
        <w:lang w:val="de-DE" w:eastAsia="en-US" w:bidi="ar-SA"/>
      </w:rPr>
    </w:lvl>
  </w:abstractNum>
  <w:num w:numId="1" w16cid:durableId="138124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dirty"/>
  <w:trackRevisions w:val="false"/>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B3F2A"/>
    <w:rsid w:val="00063682"/>
    <w:rsid w:val="00376B84"/>
    <w:rsid w:val="003C59A1"/>
    <w:rsid w:val="00636B1F"/>
    <w:rsid w:val="00875650"/>
    <w:rsid w:val="008C2BB7"/>
    <w:rsid w:val="00AB72E1"/>
    <w:rsid w:val="00B8207D"/>
    <w:rsid w:val="00CB3F2A"/>
    <w:rsid w:val="00DC1483"/>
    <w:rsid w:val="00FD0852"/>
    <w:rsid w:val="03B9A57B"/>
    <w:rsid w:val="051BE94F"/>
    <w:rsid w:val="4FDB84D1"/>
    <w:rsid w:val="661A70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01D3"/>
  <w15:docId w15:val="{A3335D8F-272B-406B-B3C7-71D61FA2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de-DE"/>
    </w:rPr>
  </w:style>
  <w:style w:type="paragraph" w:styleId="Heading1">
    <w:name w:val="heading 1"/>
    <w:basedOn w:val="Normal"/>
    <w:uiPriority w:val="9"/>
    <w:qFormat/>
    <w:pPr>
      <w:spacing w:before="244"/>
      <w:ind w:left="105"/>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acimagecontainer" w:customStyle="1">
    <w:name w:val="wacimagecontainer"/>
    <w:basedOn w:val="DefaultParagraphFont"/>
    <w:rsid w:val="00AB72E1"/>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ind w:left="391"/>
    </w:pPr>
    <w:rPr>
      <w:b/>
      <w:bCs/>
      <w:sz w:val="36"/>
      <w:szCs w:val="36"/>
    </w:rPr>
  </w:style>
  <w:style w:type="paragraph" w:styleId="ListParagraph">
    <w:name w:val="List Paragraph"/>
    <w:basedOn w:val="Normal"/>
    <w:uiPriority w:val="1"/>
    <w:qFormat/>
    <w:pPr>
      <w:ind w:left="825" w:right="131" w:hanging="360"/>
    </w:pPr>
  </w:style>
  <w:style w:type="paragraph" w:styleId="TableParagraph" w:customStyle="1">
    <w:name w:val="Table Paragraph"/>
    <w:basedOn w:val="Normal"/>
    <w:uiPriority w:val="1"/>
    <w:qFormat/>
  </w:style>
  <w:style w:type="table" w:styleId="TableNormal1" w:customStyle="1">
    <w:name w:val="Table Normal1"/>
    <w:uiPriority w:val="2"/>
    <w:semiHidden/>
    <w:unhideWhenUsed/>
    <w:qFormat/>
    <w:rsid w:val="003C59A1"/>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1c4e34-675c-460f-b50f-0c9226c6e2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C5CC9E9E252564A883F86883C4F4433" ma:contentTypeVersion="10" ma:contentTypeDescription="Ein neues Dokument erstellen." ma:contentTypeScope="" ma:versionID="764b93eeb5c7159c0c3595366734d419">
  <xsd:schema xmlns:xsd="http://www.w3.org/2001/XMLSchema" xmlns:xs="http://www.w3.org/2001/XMLSchema" xmlns:p="http://schemas.microsoft.com/office/2006/metadata/properties" xmlns:ns2="d91c4e34-675c-460f-b50f-0c9226c6e263" targetNamespace="http://schemas.microsoft.com/office/2006/metadata/properties" ma:root="true" ma:fieldsID="0b70ebdc568cbc21b7b72085ff272b52" ns2:_="">
    <xsd:import namespace="d91c4e34-675c-460f-b50f-0c9226c6e2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c4e34-675c-460f-b50f-0c9226c6e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5745c0f-c6d2-4807-bc81-eae786d256f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68872-9C27-4B86-9B8E-B0CF7D72E259}">
  <ds:schemaRefs>
    <ds:schemaRef ds:uri="http://schemas.microsoft.com/sharepoint/v3/contenttype/forms"/>
  </ds:schemaRefs>
</ds:datastoreItem>
</file>

<file path=customXml/itemProps2.xml><?xml version="1.0" encoding="utf-8"?>
<ds:datastoreItem xmlns:ds="http://schemas.openxmlformats.org/officeDocument/2006/customXml" ds:itemID="{AE5C2BA6-993D-447D-869E-661CD30165B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91c4e34-675c-460f-b50f-0c9226c6e26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CC6E3DC-10A0-4F1E-8568-AD814DFB8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c4e34-675c-460f-b50f-0c9226c6e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ITSolutions GmbH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versicherung_studienteilnehmer_phhd</dc:title>
  <dc:subject/>
  <dc:creator>Christian Spannagel</dc:creator>
  <keywords/>
  <lastModifiedBy>Kiper, Betül (SRH Hochschule Heidelberg)</lastModifiedBy>
  <revision>10</revision>
  <dcterms:created xsi:type="dcterms:W3CDTF">2024-04-02T18:27:00.0000000Z</dcterms:created>
  <dcterms:modified xsi:type="dcterms:W3CDTF">2025-02-14T08:55:07.7749814Z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Word</vt:lpwstr>
  </property>
  <property fmtid="{D5CDD505-2E9C-101B-9397-08002B2CF9AE}" pid="4" name="LastSaved">
    <vt:filetime>2024-04-02T00:00:00Z</vt:filetime>
  </property>
  <property fmtid="{D5CDD505-2E9C-101B-9397-08002B2CF9AE}" pid="5" name="ContentTypeId">
    <vt:lpwstr>0x010100BC5CC9E9E252564A883F86883C4F4433</vt:lpwstr>
  </property>
  <property fmtid="{D5CDD505-2E9C-101B-9397-08002B2CF9AE}" pid="6" name="MediaServiceImageTags">
    <vt:lpwstr/>
  </property>
</Properties>
</file>